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266</w:t>
      </w:r>
    </w:p>
    <w:p>
      <w:r>
        <w:t>Bundesgericht (BGE), 2011-04-05, DE</w:t>
      </w:r>
    </w:p>
    <w:p>
      <w:r>
        <w:rPr>
          <w:b/>
        </w:rPr>
        <w:t xml:space="preserve">Quelle: </w:t>
      </w:r>
      <w:r>
        <w:t>https://mcp.opencaselaw.ch/entscheid/bge_137 II 266</w:t>
      </w:r>
    </w:p>
    <w:p>
      <w:r>
        <w:t>FR: ATF 137 II 266</w:t>
      </w:r>
    </w:p>
    <w:p>
      <w:r>
        <w:t>IT: DTF 137 II 266</w:t>
      </w:r>
    </w:p>
    <w:p>
      <w:pPr>
        <w:pStyle w:val="Heading2"/>
      </w:pPr>
      <w:r>
        <w:t>Regeste</w:t>
      </w:r>
    </w:p>
    <w:p>
      <w:r>
        <w:t>Regeste Plangenehmigung für eine Starkstromleitung (Art. 16 EleG): Freileitung oder Verkabelung eines Teilstücks? Verletzung des rechtlichen Gehörs, weil sich das Bundesverwaltungsgericht nicht genügend mit einem von den Beschwerdeführern eingereichten Gutachten zu neuen technischen Möglichkeiten der Verkabelung auseinandergesetzt hat (E. 3 und 4). Eingriffe in das Landschaftsbild setzen nach Art. 3 NHG eine umfassende Interessenabwägung voraus; dies gilt auch für Landschaften von mittlerer bzw. lokaler Bedeutung (E. 4.1 und 4.2). Grundsatz der sparsamen und rationellen Energieverwendung (Art. 89 Abs. 1 BV; Art. 3 EnG); dazu gehört ein effizienter Energietransport mit möglichst geringen Verlusten (E. 4.3). Ergänzung des Sachverhalts, u.a. bezüglich Trassenauslegung (E. 6.1), Ausfallrisiko und Reparaturdauer (E. 6.3), Bodenerwärmung und -austrocknung (E. 6.4) und Investitionskosten (E. 6.5). Gesamtkostenvergleich: Die erheblich höheren Stromverlustkosten der Freileitung gleichen die höheren Investitionskosten der Kabelanlage weitgehend aus (E. 6.7). Die Interessenabwägung fällt vorliegend zugunsten der Teilverkabelung der Hochspannungsleitung aus (E. 7).</w:t>
      </w:r>
    </w:p>
    <w:p>
      <w:pPr>
        <w:pStyle w:val="Heading2"/>
      </w:pPr>
      <w:r>
        <w:t>Erwägungen</w:t>
      </w:r>
    </w:p>
    <w:p>
      <w:r>
        <w:rPr>
          <w:b/>
        </w:rPr>
        <w:t>E. 3</w:t>
      </w:r>
    </w:p>
    <w:p>
      <w:r>
        <w:t>Zunächst sind die Rügen der Verletzung des rechtlichen Gehörs und die damit zusammenhängenden Sachverhaltsrügen der Beschwerdeführer zu prüfen.</w:t>
      </w:r>
    </w:p>
    <w:p>
      <w:r>
        <w:rPr>
          <w:b/>
        </w:rPr>
        <w:t>E. 3.1</w:t>
      </w:r>
    </w:p>
    <w:p>
      <w:r>
        <w:t>Das Bundesverwaltungsgericht wies den Antrag der Beschwerdeführer auf Einholung eines neutralen Gutachtens ab. Es ging davon aus, dass es grundsätzlich genüge, bei der Prüfung naturwissenschaftlicher und technischer Fragen auf die Berichte und Stellungnahmen der vom Gesetzgeber beigegebenen sachkundigen Instanzen abzustellen (EStI, BFE, BAFU). Das Bundesverwaltungsgericht erachtete das vom Bundesgericht im Verfahren BGE 124 II 219 eingeholte Gutachten aus dem Jahr 1997 weiterhin für massgeblich; seither sei keine wesentliche Änderung der Sachlage eingetreten, die eine neue Expertise bedingen würde. Hierfür verwies das Bundesverwaltungsgericht auf die Studie der Beschwerdegegnerin zur Teilverkabelung Riniken vom Mai 2004 und verschiedene weitere Studien und Berichte aus den Jahren 2005 bis 2007. An diesem Ergebnis - so das Bundesverwaltungsgericht - änderten auch die von den Beschwerdeführern eingereichten Gutachten Brakelmann I und II nichts. Das Bundesverwaltungsgericht BGE 137 II 266 S. 270 qualifizierte diese als Parteibehauptungen und verwies auf die Stellungnahme des EStI, das sich als Fachbehörde des Bundes mit den Ausführungen von Prof. Brakelmann auseinandergesetzt habe. Wie die Beschwerdegegnerin und die Vorinstanz zu Recht ausführten, beruhe das Gutachten Brakelmann teilweise auf Technologien, die am Markt nicht oder nur beschränkt erhältlich sowie in der Praxis nicht erprobt und deshalb mit erheblichen Unsicherheiten behaftet seien. So sei fraglich, ob die vom Gutachter vorgeschlagenen Technologien marktreif seien. Die tieferen im Gutachten Brakelmann angegebenen Gesamtkostenfaktoren basierten zudem auf dem günstigsten von mehreren vom Gutachter verwendeten Szenarien mit einer Kumulation von für die Kabelvariante günstigen Annahmen. Sie könnten daher nicht als aussagekräftiger Vergleichswert herangezogen werden.</w:t>
      </w:r>
    </w:p>
    <w:p>
      <w:r>
        <w:rPr>
          <w:b/>
        </w:rPr>
        <w:t>E. 3.2</w:t>
      </w:r>
    </w:p>
    <w:p>
      <w:r>
        <w:t>Der durch Art. 29 Abs. 2 BV gewährleistete und in den Art. 29 ff. VwVG (SR 172.021) für das Verwaltungsverfahren des Bundes konkretisierte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 Art. 33 Abs. 1 VwVG ). Sie muss die Vorbringen der Parteien tatsächlich hören, prüfen und in der Entscheidfindung berücksichtigen ( Art. 32 VwVG ).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(vgl. BGE 136 I 229 E. 5.2 S. 236, BGE 136 I 184 E. 2.2.1 S. 188; je mit Hinweis). Für das gesamte Verwaltungs- und Beschwerdeverfahren gilt der Grundsatz der freien Beweiswürdigung ( Art. 19 VwVG in Verbindung mit Art. 40 BZP [SR 273]). Danach haben die Bundesbehörden und -gerichte die Beweise frei, ohne Bindung an förmliche Beweisregeln, sowie umfassend und pflichtgemäss zu würdigen. Für das Beschwerdeverfahren bedeutet dies, dass der Richter alle Beweismittel, unabhängig davon, von wem sie stammen, objektiv zu prüfen hat ( BGE 125 V 351 E. 3a S. 352). Expertisen, die von einer Partei eingeholt und in das Verfahren als Beweismittel eingebracht BGE 137 II 266 S. 271 werden (Partei- oder Privatgutachten), darf der Beweiswert nicht schon deshalb abgesprochen werden, weil sie von einer Partei stammen ( BGE 125 V 351 E. 3b/dd S. 353; WALDMANN/WEISSENBERGER, VwVG, Praxiskommentar [...], 2009, N. 15 zu Art. 19 VwVG ).</w:t>
      </w:r>
    </w:p>
    <w:p>
      <w:r>
        <w:rPr>
          <w:b/>
        </w:rPr>
        <w:t>E. 3.3</w:t>
      </w:r>
    </w:p>
    <w:p>
      <w:r>
        <w:t>Im vorliegenden Fall hatten die Beschwerdeführer vor Bundesverwaltungsgericht zwei umfangreiche Gutachten zu den Akten gereicht.</w:t>
      </w:r>
    </w:p>
    <w:p>
      <w:r>
        <w:rPr>
          <w:b/>
        </w:rPr>
        <w:t>E. 3.3.1</w:t>
      </w:r>
    </w:p>
    <w:p>
      <w:r>
        <w:t>Im ersten Gutachten vom Juli 2009 begutachtete Prof. Brakelmann die NOK-Studie aus dem Jahr 2004 zur Teilverkabelung Riniken. Er kam zum Ergebnis, dass die Übertragungsaufgabe von 1920 A je System nicht vier, sondern nur zwei Kabelsysteme erfordere. Das Gutachten zeigt neue Möglichkeiten der Kabeltechnologie auf, die im NOK-Gutachten noch nicht berücksichtigt worden waren: den Einsatz von Leiterquerschnitten bis zu 3'200 mm 2 , Lieferlängen von 1'000 m und mehr, einen neuen hochwärmeleitfähigen Spezialbeton zur thermischen Stabilisierung des Kabelgrabens sowie neue und kostengünstige Tunneltechnologien. Mit diesen heute verfügbaren Möglichkeiten seien für die Verkabelung einer Strecke von 950 m keine Verbindungsmuffen und keine Muffenbauwerke erforderlich; zudem würden die Übergangsbauwerke einen spürbar kleineren Flächenbedarf aufweisen als bisher angenommen. Im Gutachten wird dargelegt, dass das zeitabhängige Überlastverhalten von Kabeln nicht schlechter, sondern erheblich günstiger sei als das von Freileitungen, und die Ausfallraten der Kabel in der NOK- Studie um einen Faktor von 5 bis 10 zu hoch angesetzt worden seien. Die Angaben der NOK zur Bodenerwärmung durch Kabel seien überzogen. Auch die Zugänglichkeit und die Freihaltung der gesamten Kabelstrecke während des Betriebs seien nicht erforderlich; vielmehr sei eine uneingeschränkte landwirtschaftliche Nutzung direkt über der Kabeltrasse möglich. Das Gutachten geht, aufgrund der geänderten technischen Ansätze, von wesentlich verringerten Kosten der Teilverkabelung aus. Vergleiche man lediglich die Investitionskosten, so sei die Verkabelung rund 8 Mal (und nicht 12 bis 15 Mal) teurer als die Freileitung. Ein sinnvoller Wirtschaftlichkeitsvergleich sei jedoch nur über eine Gesamtkostenbetrachtung möglich. Hierbei sei von Bedeutung, dass die Stromverluste einer Freileitung 3 bis 4 Mal höher seien als bei Kabelanlagen. Dies ergebe schon bei der vorliegenden kurzen Übertragungsstrecke über eine Betriebsdauer von 80 Jahren BGE 137 II 266 S. 272 Verlust-Mehrkosten der Freileitung von 2,8 bis 3,2 Mio. Fr. Unter Berücksichtigung dieser Kosten ergebe sich ein Gesamtkostenfaktor von nur 1,7 bis 1,8. Dieser Faktor reduziere sich auf rund 5 (für die Investitionskosten) bzw. 1,6 (für die Gesamtkosten), wenn für die Kosten der Freileitung nicht auf die überholte NOK-Schätzung (Fr. 950'000.-) abgestellt, sondern gemäss einer neueren Studie 1,5 Mio. Fr. zugrunde gelegt würden. Der Gutachter empfahl abschliessend die Nutzung neuartiger Tunneltechnologien, die nicht nur kostenmässig günstiger seien als die direkte Erdverlegung, sondern auch vielfältige betriebliche Vorteile aufwiesen (Zugänglichkeit, mechanischer Schutz der Kabel, Herabsetzung der Fehlerraten). Bei einer Waldquerung erlaube der Tunnel ein Minimum an Schneisenbreite.</w:t>
      </w:r>
    </w:p>
    <w:p>
      <w:r>
        <w:rPr>
          <w:b/>
        </w:rPr>
        <w:t>E. 3.3.2</w:t>
      </w:r>
    </w:p>
    <w:p>
      <w:r>
        <w:t>Das zweite Gutachten von Prof. Brakelmann vom Januar 2010 setzt sich mit den Einwänden gegen das erste Gutachten auseinander und trägt diesen teilweise Rechnung. So verzichtet das Gutachten Brakelmann II auf die Optimierungsmöglichkeiten durch den Einsatz von Kabeln mit einem Leiterquerschnitt von 3'200 mm 2 und von hochwärmeleitfähigem Spezialbeton (weil diese nur von wenigen bzw. nur von einem Unternehmen geliefert werden können) und schlägt Lösungen mit Leiterquerschnitten von 2'500 mm 2 und unter Einsatz von normalem Magerbeton vor. Dagegen wird an der Verwendung eines einzigen Kabels (ohne Verbindungsmuffen) festgehalten: Nachfragen bei den Kabelherstellern hätten ergeben, dass nicht nur einer, sondern vier von fünf Kabelherstellern an mehreren Standorten in der Lage seien, Kabellängen von mehr als 1'000 m zu liefern. Zur Tunnellösung wird das Angebot eines deutschen Unternehmens vorgelegt, das bereit sei, unter den gegebenen Randbedingungen des Transports und der Trassenbeschaffenheit auf der Basis der Schweizer Gesetze einen begehbaren Infrastrukturkanal zu errichten; dieses Angebot bestätige die Kostenansätze des ersten Gutachtens. Dasselbe Bauunternehmen biete auch die Erstellung eines Kabelgrabens als Rohrblock (direkte Erdverlegung) an. Auch zu den Kabelkosten holte der Gutachter ein Angebot ein. Dieses weise aus, dass die Kabelpreise unter Druck geraten seien, sodass die Kabelkosten trotz stark angestiegener Metallpreise geringer seien als im ersten Gutachten angenommen. Der Gutachter überprüfte ebenfalls die konkreten Transportbedingungen zur Baustelle und kam zum Ergebnis, dass diese optimal seien. BGE 137 II 266 S. 273 Das Gutachten Brakelmann II übernimmt den Vorschlag der Professoren Fröhlich und Glavitsch, eine vollständige zusätzliche Kabellänge zu verlegen, die bei Ausfall einer Kabelader innert eines Tages in Betrieb genommen werden könne, sodass hierdurch (n-1)-Sicherheit gewährleistet werde. Da zusätzlich durch die Auslegung des 220-kV-Systems auf 380 kV die Möglichkeit der Umschaltung auf das 220-kV-System bestehe, werde die Anlage letztlich nach dem (n-2)-Prinzip ausgelegt, sodass von einer grossen Betriebssicherheit ausgegangen werden könne. Die Axpo AG hatte in ihrer Stellungnahme für die Gesamtwirtschaftlichkeitsberechnung die Senkung des internen Zinsfusses auf 3,75 % sowie die Einführung einer Teuerungsrate von 1,7 %/Jahr im Hinblick auf spätere Reinvestitionen verlangt. Prof. Brakelmann kommt dieser Forderung nach, berücksichtigt aber auch bei den Verlustkosten eine jährliche Teuerungsrate von 1,7 % (Szenarien 1 und 2) bzw. 3,5 % (Szenario 3). Das Gutachten Brakelmann II kommt zum Ergebnis, dass die Freileitung über ihre Betriebsdauer auf der Teilstrecke Riniken Verluste aufweist, die um 50'000 bis 110'000 MWh höher liegen als bei der Kabellösung. Dies sei nicht nur ökologisch bedenklich, sondern auch sehr teuer. Während die Investitionskostenfaktoren zwischen 5,69 (für die Tunnellösung) und 6,82 (für die direkte Erdverlegung im Rohrblock) liegen, schwankten die Gesamtkostenfaktoren (je nach Szenario) zwischen 0,68 und 1,63 für die Tunnellösung und zwischen 0,66 und 1,83 für die direkte Erdverlegung. Dies bedeute, dass beim pessimistischsten Szenario der Verlustkostenentwicklung die Kabellösungen der Freileitung wirtschaftlich spürbar überlegen seien.</w:t>
      </w:r>
    </w:p>
    <w:p>
      <w:r>
        <w:rPr>
          <w:b/>
        </w:rPr>
        <w:t>E. 3.4</w:t>
      </w:r>
    </w:p>
    <w:p>
      <w:r>
        <w:t>Wie bereits dargelegt wurde (oben E. 3.2), kann der Beweiswert der Gutachten Brakelmann I und II nicht allein mit Hinweis auf ihre Herkunft (Parteigutachten) verneint werden. Dies gilt umso mehr, als es sich auch beim Gutachten der NOK zur Teilverkabelung Riniken aus dem Jahre 2004, auf welches sich das BFE stützte, um ein Parteigutachten handelt. Die Fachkompetenz von Prof. Brakelmann wurde weder von der Beschwerdegegnerin noch von den Fachbehörden des Bundes bestritten. Das Gutachten Brakelmann II trägt den Vorgaben und Einwänden der Axpo AG und des EStI in weitem Umfang Rechnung, und zwar selbst dort, wo der Gutachter die Vorgabe als unsinnig betrachtet (Stromhöchstwert 1920 A als Dauerlast) oder weitere BGE 137 II 266 S. 274 Optimierungen für möglich erachtet (Leitungsquerschnitt 3'200 mm 2 ; hochwärmeleitfähiger Spezialbeton). Die Kostenschätzungen werden durch Angaben von Kabelherstellern sowie konkrete Angebote eines deutschen Bauunternehmens für die Erstellung einer 950 m langen Kabeltrasse bzw. eines Tunnels im Bereich Riniken belegt. Dagegen werden die Kosten der Freileitung aus der NOK-Studie 2004 übernommen, obwohl inzwischen die Rohstoffpreise stark angestiegen sind. Unter diesen Umständen hätte das Bundesverwaltungsgericht nicht an den Einwänden der NOK und des EStI festhalten dürfen, ohne sich mit dem Gutachten Brakelmann II näher auseinanderzusetzen.</w:t>
      </w:r>
    </w:p>
    <w:p>
      <w:r>
        <w:rPr>
          <w:b/>
        </w:rPr>
        <w:t>E. 3.5</w:t>
      </w:r>
    </w:p>
    <w:p>
      <w:r>
        <w:t>Allerdings vertreten das Bundesverwaltungsgericht und das BFE die Auffassung, auch ohne Berücksichtigung des Gutachtens Brakelmann II sei die der Plangenehmigung zugrunde liegende Interessenabwägung vollständig und richtig. Dies ist im Folgenden näher zu prüfen. Würde dies zutreffen, wäre das Gutachten Brakelmann II nicht entscheiderheblich und hätte daher vom Bundesverwaltungsgericht zurückgewiesen werden dürfen, ohne den Grundsatz des rechtlichen Gehörs zu verletzen.</w:t>
      </w:r>
    </w:p>
    <w:p>
      <w:r>
        <w:rPr>
          <w:b/>
        </w:rPr>
        <w:t>E. 4</w:t>
      </w:r>
    </w:p>
    <w:p>
      <w:r>
        <w:t>Das Erstellen oder Ändern einer Starkstromanlage bedarf einer Plangenehmigung (Art. 16 Abs. 1 des Bundesgesetzes vom 24. Juni 1902 betreffend die elektrischen Schwach- und Starkstromanlagen [Elektrizitätsgesetz, EleG; SR 734.0]). Mit der Plangenehmigung werden sämtliche nach Bundesrecht erforderlichen Bewilligungen erteilt; kantonale Bewilligungen und Pläne sind nicht erforderlich ( Art. 16 Abs. 3 und 4 EleG ). Zu beachten sind neben den einschlägigen technischen Bestimmungen und den Anforderungen des Raumplanungsrechts insbesondere die massgeblichen Vorschriften über den Natur- und Heimatschutz sowie den Landschafts-, Umwelt- und Gewässerschutz (vgl. Art. 7 Abs. 1 der Starkstromverordnung vom 30. März 1994 [SR 734.2]). Die Genehmigung von Plänen für Werke und Anlagen zur Beförderung von Energie stellt eine Bundesaufgabe gemäss Art. 2 Bst. b des Bundesgesetzes vom 1. Juli 1966 über den Natur- und Heimatschutz (NHG; SR 451) dar. Bei der Erfüllung einer solchen Bundesaufgabe haben die Bundesbehörden dafür zu sorgen, dass das heimatliche Landschafts- und Ortsbild, geschichtliche Stätten sowie Natur- und Kulturdenkmäler geschont werden und, wo das allgemeine Interesse an ihnen überwiegt, ungeschmälert erhalten bleiben. BGE 137 II 266 S. 275 Diese Pflicht gilt unabhängig davon, ob der Eingriff in ein Objekt von nationaler, regionaler oder lokaler Bedeutung vorgenommen wird (Art. 3 Abs. 1 und 3 i.V.m. Art. 4 NHG ). 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(ständige Rechtsprechung; vgl. BGE 100 Ib 404 E. 2 S. 409; Urteil 1A.84/2001 vom 12. März 2002 E. 2 mit Hinweisen; CHRISTINE FAVRE, in: Kommentar NHG, 1997, N. 4, 12 und 13 zu Art. 3 NHG ).</w:t>
      </w:r>
    </w:p>
    <w:p>
      <w:r>
        <w:rPr>
          <w:b/>
        </w:rPr>
        <w:t>E. 4.1</w:t>
      </w:r>
    </w:p>
    <w:p>
      <w:r>
        <w:t>Das Bundesverwaltungsgericht qualifizierte den Gäbihübel als landschaftlich wertvolle und schützenswerte Region. Dies werde durch die Zonenplanung der Gemeinde Riniken bestätigt, wonach der Gäbihübel durch eine Landschaftsschutzzone überlagert werde. Allerdings sei das Gebiet weder in einem Bundesinventar von Objekten von nationaler Bedeutung enthalten noch als kantonales Schutzgebiet ausgewiesen; ihm komme somit einzig lokale Bedeutung zu. Der Landschaft könne daher höchstens mittlere Bedeutung beigemessen werden. Bei seiner Interessenabwägung berücksichtigte das Bundesverwaltungsgericht, dass eine Verkabelung zu einer Schonung der Landschaft in diesem Gebiet beitragen und sich wohl auch positiv auf die Wohnqualität in den angrenzenden Quartieren auswirken würde. Dagegen stelle die Freileitung für den Wald die schonendere Lösung dar. Die Kabelleitung hätte sodann in Bezug auf die Belastung mit elektromagnetischer Strahlung gewisse Vorteile, doch sei die Verordnung vom 23. Dezember 1999 über den Schutz vor nichtionisierender Strahlung (NISV; SR 814.710) auch bei der Freileitungsvariante eingehalten, weshalb aus dieser Sicht eine Verkabelung grundsätzlich nicht verlangt werden könne. Den genannten Vorteilen stünden - so das Bundesverwaltungsgericht - verschiedene Nachteile einer Kabelleitung gegenüber. Diese seien einmal technischer/betrieblicher Natur: Die Betriebssicherheit bei Kabelleitungen von 50 kV und höheren Spannungsebenen sei nicht im selben Ausmass gewährleistet wie bei Freileitungen; insbesondere seien Fehler auf Freileitungen einfacher und schneller zu orten als bei erdverlegten Kabeln und Schadensfälle bzw. Reparaturen seien bei Kabeln deutlich aufwändiger und mit erheblich längeren Ausschaltzeiten als bei der Freileitung verbunden (...). BGE 137 II 266 S. 276 Weiter könnten Kabelleitungen durch die Abgabe von Wärme an die Umgebung den Boden austrocknen und dessen Mikrobiologie verändern. (...) Schliesslich könnten durch Kabelleitungen unterirdische Wasserläufe beeinträchtigt werden. (...) Zwar treffe es zu, dass die Transportverluste in Kabelleitungen in der Regel kleiner seien als in Freileitungen. (...) Dagegen lägen jedenfalls die Investitionskosten einer Kabelleitung - auch gemäss Gutachten Brakelmann - erheblich höher als bei einer Freileitung. Bestünden keine überwiegenden entgegenstehenden Interessen, so seien diese Mehrkosten gemäss der bundesgerichtlichen Rechtsprechung als unverhältnismässig zu betrachten. Gemäss konstanter Rechtsprechung sei eine Verkabelung einer Freileitung von 50 kV und höher aus landschaftsschützerischen Gründen nur dann vorzunehmen, wenn es gemäss den Bestimmungen des NHG gelte, ein besonders schützenswertes Objekt zu erhalten (Entscheid des Bundesrates vom 27. März 1991, in: VPB 1992 Nr. 7 S. 52 E. 3c.bb S. 59; BGE 115 Ib 311 E. 5f S. 324 mit Hinweisen). Eine Verkabelung von Leitungen in Landschaften von mittlerer Schutzwürdigkeit hätte wegen des Prinzips der Gleichbehandlung recht lange Kabelstrecken und damit eine beachtliche Verteuerung der Stromkosten zur Folge ( BGE 99 Ib 70 E. 4 S. 82; vgl. auch BGE 100 Ib 404 E. 4b S. 414 f.). Gestützt auf Art. 3 NHG könne eine Verkabelung nur ausnahmsweise, unter speziellen Voraussetzungen, verlangt werden (Urteil des Bundesgerichts 1A.84/2001 vom 12. März 2002 E. 2 mit Hinweisen). Diese Voraussetzungen seien vorliegend nicht gegeben.</w:t>
      </w:r>
    </w:p>
    <w:p>
      <w:r>
        <w:rPr>
          <w:b/>
        </w:rPr>
        <w:t>E. 4.2</w:t>
      </w:r>
    </w:p>
    <w:p>
      <w:r>
        <w:t>Tatsächlich wurden in der bisherigen Rechtsprechung für die Verkabelung von Hochspannungsleitungen hohe Anforderungen an die Schutzwürdigkeit des Gebiets gestellt. Dies beruhte auf der Einschätzung, dass die Freileitung aus technischer und energiewirtschaftlicher Sicht eindeutig die beste Lösung sei. So ging das Bundesgericht noch im Urteil vom 12. April 2006 (1E.1/2006 E. 8.3 mit Hinweisen) davon aus, dass die Verkabelung nicht nur um ein Mehrfaches teurer sei als die Freileitung, sondern auch mit bedeutenden betrieblichen Nachteilen verbunden sei, insbesondere einer erhöhten Störungsanfälligkeit, einem grösseren zeitlichen Aufwand für Reparaturen und einer geringeren Lebensdauer. Werden Kabelanlagen aufgrund technischer Fortschritte leistungsfähiger, zuverlässiger und kostengünstiger, so mindert dies das Gewicht der gegen eine (Teil)Verkabelung sprechenden Gründe. Dies BGE 137 II 266 S. 277 kann dazu führen, dass das Interesse an der ungeschmälerten Erhaltung einer Landschaft von mittlerer bzw. nur lokaler Bedeutung im Einzelfall überwiegen kann. In diesem Zusammenhang ist auch die zunehmende Verbauung des Schweizer Mittellandes zu berücksichtigen, mit der Folge, dass unbeeinträchtigte Landschaften immer seltener werden und das Interesse an ihrer Erhaltung zunimmt. Insofern waren die in den Gutachten Brakelmann I und II aufgezeigten neuen technischen Möglichkeiten der Verkabelung und die Kostenvergleiche mit der Freileitung für die Interessenabwägung relevant, auch - und gerade - wenn es um den Schutz einer Landschaft von "nur" mittlerer Bedeutung ging.</w:t>
      </w:r>
    </w:p>
    <w:p>
      <w:r>
        <w:rPr>
          <w:b/>
        </w:rPr>
        <w:t>E. 4.3</w:t>
      </w:r>
    </w:p>
    <w:p>
      <w:r>
        <w:t>Es ist auch kein Grund ersichtlich, bei der Interessenabwägung ausschliesslich auf die Investitionskosten abzustellen, unter Vernachlässigung der Betriebskosten und insbesondere der Stromverlustkosten. Schon aus betriebswirtschaftlicher Sicht erscheint es geboten, möglichst alle während der Lebensdauer der Anlage anfallenden Kosten zu berücksichtigen. Dementsprechend sieht auch der im Auftrag des UVEK erstellte Bericht der Arbeitsgruppe Leitungen und Versorgungssicherheit (AG LVS) vom 3. Dezember 2008 zum Prüfungs- und Beurteilungsschema "Kabel-Freileitung" auf 220/380 kV-Ebene vor, dass beim Kostenvergleich die Investitions- und die Betriebskosten zu berücksichtigen sind; zu Letzteren zählen insbesondere auch die Energieverlustkosten. Hinzu kommt, dass der Stromverlustanteil auch aus ökologischer Sicht ein wichtiges Kriterium ist, das bei einer umfassenden Interessenabwägung nicht ausser Acht gelassen werden darf. Art. 89 Abs. 1 BV und Art. 3 des Energiegesetzes vom 26. Juni 1998 (EnG; SR 730) gebieten eine sparsame und rationelle Energieverwendung; dazu zählt ein effizienter Energietransport mit möglichst kleinem Verlustanteil.</w:t>
      </w:r>
    </w:p>
    <w:p>
      <w:r>
        <w:rPr>
          <w:b/>
        </w:rPr>
        <w:t>E. 4.4</w:t>
      </w:r>
    </w:p>
    <w:p>
      <w:r>
        <w:t>Schliesslich erscheinen auch die vom Bundesverwaltungsgericht genannten Argumente des Wald- und Gewässerschutzes nicht als derart gewichtig, dass sie eine Verkabelung von vornherein ausschliessen würden. (...)</w:t>
      </w:r>
    </w:p>
    <w:p>
      <w:r>
        <w:rPr>
          <w:b/>
        </w:rPr>
        <w:t>E. 4.5</w:t>
      </w:r>
    </w:p>
    <w:p>
      <w:r>
        <w:t>Nach dem Gesagten ist davon auszugehen, dass die Aussagen des Gutachtens Brakelmann II für die Interessenabwägung wesentlich gewesen wären. Dies gilt insbesondere für den Gesamtkostenvergleich unter Berücksichtigung der Stromverlustkosten, aber auch für die betrieblichen und technischen Aspekte der Verkabelung BGE 137 II 266 S. 278 (insbesondere Störungsanfälligkeit, Ausfallzeiten) und die Folgen für die Umwelt (insbesondere Bodenerwärmung). Die Nichtberücksichtigung des Gutachtens Brakelmann II durch das Bundesverwaltungsgericht ist daher als Verletzung des rechtlichen Gehörs zu werten.</w:t>
      </w:r>
    </w:p>
    <w:p>
      <w:r>
        <w:rPr>
          <w:b/>
        </w:rPr>
        <w:t>E. 5</w:t>
      </w:r>
    </w:p>
    <w:p>
      <w:r>
        <w:t>(Zusammenfassung: Angesichts der langen Dauer des Plangenehmigungsverfahrens sieht das Bundesgericht von einer Rückweisung der Sache an das Bundesverwaltungsgericht ab. Es berichtigt bzw. ergänzt den Sachverhalt und entscheidet selbst über die strittige Frage der Teilverkabelung.)</w:t>
      </w:r>
    </w:p>
    <w:p>
      <w:r>
        <w:rPr>
          <w:b/>
        </w:rPr>
        <w:t>E. 6</w:t>
      </w:r>
    </w:p>
    <w:p>
      <w:r>
        <w:t>Fraglich ist zunächst, ob das Bundesgericht einen unabhängigen gerichtlichen Sachverständigen beiziehen muss, wie dies im Urteil BGE 124 II 210 (zur wirtschaftlichen Tragbarkeit einer Verkabelung der Freileitung Biel-Mettmen) geschehen ist. Im vorliegenden Fall liegen jedoch bereits umfangreiche Studien und Stellungnahmen zur Frage der Teilverkabelung Riniken vor. Die Gemeinde Riniken wurde von Prof. Brakelmann beraten, der ein anerkannter Fachmann in Fragen des Energietransports ist. Die Axpo AG verfügt ihrerseits als grösste Stromproduzentin der Schweiz mit einem bedeutenden Übertragungs- und Verteilnetz über eigene ausgewiesene Fachleute in Fragen der Energieübertragung. Die Axpo AG hat sich ausführlich mit den Aussagen des Gutachtens Brakelmann I auseinandergesetzt; ihren Einwänden wurde im Gutachten Brakelmann II Rechnung getragen bzw. darauf erwidert. Vor Bundesgericht kam es zu einem weiteren Austausch von Stellungnahmen (Vernehmlassung der Axpo AG und Stellungnahme Brakelmann III); schliesslich wurde beiden Seiten Gelegenheit zu Schlussbemerkungen gegeben. In diesem "Dialog" von Experten auf beiden Seiten wurden alle für das vorliegende Verfahren bedeutenden Fragen vertieft behandelt. Unter diesen Umständen würde die Einholung eines gerichtlichen Gutachtens keine wesentlichen zusätzlichen Erkenntnisse bringen. Auf die Beauftragung eines neutralen Gutachters kann daher verzichtet werden. Dies gilt jedenfalls, wenn - nach Würdigung der Stellungnahmen der Parteien - keine für die Interessenabwägung erheblichen Fragen offenbleiben. Dies ist im Folgenden zu prüfen.</w:t>
      </w:r>
    </w:p>
    <w:p>
      <w:r>
        <w:rPr>
          <w:b/>
        </w:rPr>
        <w:t>E. 6.1</w:t>
      </w:r>
    </w:p>
    <w:p>
      <w:r>
        <w:t>Aufgrund des Schriftenwechsels vor Bundesgericht besteht inzwischen Einigkeit darüber, dass die von der Axpo AG geforderte Übertragungsleistung (1920 A als Dauerlast) mit nur zwei BGE 137 II 266 S. 279 Kabelsystemen bei einem maximalen Kupferleiterquerschnitt von 2'500 mm 2 übertragen werden kann; dies gilt sowohl für die Erdverlegung in Rohrblock wie auch für die Tunnelvariante. Auch die grundsätzliche Verfügbarkeit von 380-kV-Kabeln von 1'000 m und mehr wird nicht mehr bestritten. Weiter räumt die Axpo AG inzwischen ein, dass im Normalbetrieb eine Leitertemperatur von 90 °C zulässig ist, auch wenn sie weiterhin an ihrer "bewährten Praxis" festhalten will, Kabelleitungen mit einer Leitertemperatur von maximal 80 °C zu betreiben. Streitig bleibt dagegen, ob die Vorgaben zur Höchstlast und dem Belastungsgrad sinnvoll sind. Diese Frage kann jedoch offenbleiben, weil sie nur für die weitere Optimierung der Kabelanlage relevant ist.</w:t>
      </w:r>
    </w:p>
    <w:p>
      <w:r>
        <w:rPr>
          <w:b/>
        </w:rPr>
        <w:t>E. 6.2</w:t>
      </w:r>
    </w:p>
    <w:p>
      <w:r>
        <w:t>(Zusammenfassung: zum Transport der Kabelrolle zur Kabeltrasse)</w:t>
      </w:r>
    </w:p>
    <w:p>
      <w:r>
        <w:rPr>
          <w:b/>
        </w:rPr>
        <w:t>E. 6.3</w:t>
      </w:r>
    </w:p>
    <w:p>
      <w:r>
        <w:t>Meinungsverschiedenheiten bestehen hinsichtlich des Ausfallrisikos der Kabel. Zwar berufen sich beide Parteien auf die Technische Broschüre Nr. 379 "Update of Service Experience of HV Underground Cable Systems" des International Council on Large Electric Systems (CIGRE) aus dem Jahr 2009, sie kommen aber zu unterschiedlichen Ergebnissen bei der Interpretation der CIGRE-Studie und ihrer Umrechnung auf die vorliegend streitige Teilverkabelungsstrecke von 950 m. Immerhin liegt die Ausfallrate selbst nach Interpretation der Axpo AG (0,183 pro 100 km und Jahr) deutlich tiefer als die in der NOK-Studie genannten Ausfallraten der Freileitung (1,33 pro 100 km und Jahr) und halbiert sich noch, wenn äussere Beschädigungen des Kabels (insb. durch Erdbewegungen) ausgeschlossen werden können. Zwar sind die Ausfallzeiten für die Reparatur von Kabelanlagen regelmässig länger als bei Freileitungen. Sie können jedoch auf ein Minimum beschränkt werden, wenn - wie im Gutachten Brakelmann II vorgeschlagen - ein komplettes Reservekabel mitverlegt wird. Diese Variante gewährleistet eine hohe Versorgungssicherheit.</w:t>
      </w:r>
    </w:p>
    <w:p>
      <w:r>
        <w:rPr>
          <w:b/>
        </w:rPr>
        <w:t>E. 6.4</w:t>
      </w:r>
    </w:p>
    <w:p>
      <w:r>
        <w:t>Streitig ist weiter die mögliche Bodenerwärmung und -austrocknung durch erdverlegte Kabel (unstreitig treten diese Effekte nicht auf, wenn das Kabel in einem Tunnel verlegt wird). Im Gutachten Brakelmann II wird dargelegt, das im Rohrblock verlegte Kabel führe zu einer Erhöhung der Bodentemperatur von weniger als 1 °C, die zudem auf die Trassenbreite beschränkt sei, weshalb weder eine Bodenaustrocknung noch eine Beeinflussung des BGE 137 II 266 S. 280 Pflanzenwuchses zu erwarten sei. Diese Aussagen stützen sich auf eigene Forschungsergebnisse des Gutachters sowie auf eine gemeinsame Stellungnahme der Europäischen Netzbetreiber (ENTSOE) und der Europäischen Kabelhersteller (Europacable) (Joint paper: Feasibility and technicals aspects of partial undergrounding of extra high voltage power transmission lines, Dezember 2010, Ziff. 3.4.1.4). Die Axpo AG hält zwar an ihren Berechnungen mit weit höheren Temperaturen fest. Diese beruhen aber, wie sie selbst einräumt, auf dem Worst Case Szenario, d.h. auf einem Dauerbetrieb mit einer Höchstlast von 1920 A. Diese Höchstlast wird jedoch nur in seltenen Ausnahmefällen (beim gleichzeitigen Ausfall mehrerer Stromkreise) und für kurze Dauer erreicht, die in aller Regel nicht genügt, um die Temperatur des Rohrblocks und des darüber befindlichen Bodens wesentlich zu erhöhen.</w:t>
      </w:r>
    </w:p>
    <w:p>
      <w:r>
        <w:rPr>
          <w:b/>
        </w:rPr>
        <w:t>E. 6.5</w:t>
      </w:r>
    </w:p>
    <w:p>
      <w:r>
        <w:t>Bei den Investitionskosten haben sich die Standpunkte angenähert: Die Axpo AG schätzt die Erstellungskosten für die Kabelanlage inzwischen auf das 8-Fache (und nicht das 12- bis 15-Fache) der Freileitung, während der Gutachter zu Faktoren zwischen 5,69 (Tunnellösung) und 6,82 (für den Rohrblock) kommt. Die Kostenschätzungen im Gutachten Brakelmann II stützen sich auf konkrete Angebote von Kabelherstellern und Bauunternehmen und erscheinen daher plausibel. (Zusammenfassung: Einwände der Axpo AG gegen das Angebot betreffend die Erstellung des Infrastrukturtunnels.) Letztlich kann die Frage offenbleiben, wenn für den Gesamtkostenvergleich auf die Variante der direkten Erdverlegung (im Rohrblock) abgestellt wird. Gegen das diesbezügliche Angebot des deutschen Bauunternehmens hat die Axpo AG keine (substanziierten) Einwände erhoben.</w:t>
      </w:r>
    </w:p>
    <w:p>
      <w:r>
        <w:rPr>
          <w:b/>
        </w:rPr>
        <w:t>E. 6.6</w:t>
      </w:r>
    </w:p>
    <w:p>
      <w:r>
        <w:t>(Zusammenfassung: zur Notwendigkeit von Übergangsbauwerken und ihrer Dimensionierung.) Auch diese Fragen können jedoch offenbleiben. Für den Gesamtkostenvergleich spielen sie keine Rolle, da im Gutachten Brakelmann II die Kostenschätzung der NOK für die Übergangsbauwerke zugrunde gelegt wurde. Aufgrund der Ausführungen des Gutachters ist davon auszugehen, dass selbst bei unveränderter Grösse der Übergangsbauwerke Möglichkeiten bestehen, deren Landschaftsverträglichkeit zu verbessern. BGE 137 II 266 S. 281</w:t>
      </w:r>
    </w:p>
    <w:p>
      <w:r>
        <w:rPr>
          <w:b/>
        </w:rPr>
        <w:t>E. 6.7</w:t>
      </w:r>
    </w:p>
    <w:p>
      <w:r>
        <w:t>Einen zentralen Streitpunkt stellten vor Bundesverwaltungsgericht die Stromverluste von Freileitung und Kabelanlage auf der Teilstrecke Riniken und die damit verbundenen Kosten dar. Die Axpo AG ging davon aus, dass die Stromverluste der Kabelanlage höher lägen, wenn Kabel mit einem Durchschnitt von 2'500 mm 2 (anstatt von 3'200 mm 2 Kabel) verwendet würden; zudem könne der Stromwärmeverlust der Freileitung durch die Verwendung von Viererbündeln verbessert werden. Überdies wurde kritisiert, dass die Gesamtkostenrechnung in Brakelmann I ohne Berücksichtigung der Teuerungsrate durchgeführt worden sei. Im Gutachten Brakelmann II wurden daher die Stromverluste neu für Kabel mit einem Durchschnitt von 2'500 mm 2 berechnet. Die Stromkosten orientieren sich - den Empfehlungen der Professoren Fröhlich und Glavitsch folgend - am SWEP (Swiss Energy Price Index). Bei den Reinvestitionskosten (insb. Erneuerung der Kabel nach 40 Jahren), aber auch bei den Stromverlustkosten, wurden (wie von der Axpo AG vorgeschlagen) eine Teuerungsrate von 1,7 % und ein Zinssatz von 3,75 % berücksichtigt. Nur in Szenario 3 ("hohe Verlustkosten") wurde von einem höheren (aber immer noch mässigen) Anstieg der Stromkosten von 3,5 % ausgegangen. Dagegen wurden die Stromverluste der Freileitung weiterhin für Zweierbündel berechnet. Dies erscheint gerechtfertigt, da der grösste Teil der Freileitungsstrecke Beznau-Birr-Oberfelden bereits mit Zweierbündel-Konstruktion errichtet worden ist und Viererbündel nach Aussage der Axpo AG nicht dem bisherigen Schweizer Standard entsprechen. Eine Umrüstung der bestehenden Freileitung auf Viererbündel würde viele Millionen Franken kosten und ist von der Axpo AG nicht geplant. Vor Bundesgericht hat die Axpo AG denn auch die in Brakelmann II berechneten Stromverluste und die sich daraus ergebenden Kosten nicht mehr substanziiert bestritten. Insofern kann grundsätzlich auf die Stromverlustkosten gemäss Gutachten Brakelmann II abgestellt werden. Das Gutachten berechnet drei Szenarien (mittlere, minimale und hohe Verluste), die sich nach Auslastung des Systems, Ausgangskosten der kWh und Teuerungsrate unterscheiden. Danach weist die Freileitung auf der zur Diskussion stehenden Teilstrecke Riniken über eine Betriebsdauer von 80 Jahren Verluste auf, die (je nach Szenario) 50'000 bis 110'000 MWh höher sind als diejenigen einer Kabelanlage. Dies führt zu Mehrkosten zwischen 2,3 Mio. und 13,8 Mio. Fr. BGE 137 II 266 S. 282 Die geringeren Stromverlustkosten des Kabels haben zur Folge, dass die Gesamtkosten der Verkabelung (Variante direkte Erdverlegung) nur noch 0,66 bis 1,83 der Kosten der Freileitung betragen. Stellt man auf das Szenario "mittlere Verlustkosten" ab (mit einem Strommittelwert von 850 A, Ausgangskosten der kWh von Fr. 0.095 und einer Teuerungsrate von 1,7 %), liegen die Gesamtkosten der Verkabelung bei direkter Erdverlegung nur unwesentlich höher als diejenigen der Freileitung (Faktor 1,29). Sollten die Stromkosten in den kommenden Jahrzehnten stärker ansteigen als 1,7 % - was durchaus wahrscheinlich erscheint - könnten die Gesamtkosten der Verkabelung sogar unter denjenigen der Freileitung liegen.</w:t>
      </w:r>
    </w:p>
    <w:p>
      <w:r>
        <w:rPr>
          <w:b/>
        </w:rPr>
        <w:t>E. 6.8</w:t>
      </w:r>
    </w:p>
    <w:p>
      <w:r>
        <w:t>Nach dem Gesagten verbleiben keine für die Interessenabwägung wesentlichen Streitfragen. Auf die Einholung eines neutralen Gutachtens kann daher verzichtet werden.</w:t>
      </w:r>
    </w:p>
    <w:p>
      <w:r>
        <w:rPr>
          <w:b/>
        </w:rPr>
        <w:t>E. 7</w:t>
      </w:r>
    </w:p>
    <w:p>
      <w:r>
        <w:t>Aufgrund des so ergänzten bzw. berichtigten Sachverhalts ergeben sich Gewichtsverschiebungen bei der Interessenabwägung.</w:t>
      </w:r>
    </w:p>
    <w:p>
      <w:r>
        <w:rPr>
          <w:b/>
        </w:rPr>
        <w:t>E. 7.1</w:t>
      </w:r>
    </w:p>
    <w:p>
      <w:r>
        <w:t>Das Hauptargument gegen die Verkabelung, nämlich der grössere zeitliche Aufwand für Reparaturen, entfällt bei der vom Gutachter vorgeschlagenen Mitverlegung einer kompletten, zusätzlichen Kabellänge. Dagegen hat das Kabel gegenüber der Freileitung den wesentlichen Vorteil, dass es gegenüber Stürmen, herabfallenden Bäumen, Schnee- und Eisbehang unempfindlich ist. Zwar betragen die Investitionskosten der Teilverkabelung Riniken ein Mehrfaches der Investitionskosten für den Freileitungsabschnitt. Bei der Gesamtkostenrechnungen müssen aber auch die erheblich grösseren Energieverlustkosten der Freileitung mitberücksichtigt werden. Dies führt für eine Betriebsdauer von 80 Jahren zu einer Annäherung der Gesamtkosten von Kabel und Freileitung. Sollten die Energiekosten in den nächsten Jahren stärker ansteigen als die allgemeine Teuerungsrate, kann die Verkabelung sogar wirtschaftlich günstiger sein als die Freileitung. Für die Verkabelung spricht das gewichtige energiepolitische Interesse an der Vermeidung unnötiger Stromverluste. Mit dem Bundesverwaltungsgericht ist davon auszugehen, dass die Verkabelung aus Sicht des Landschaftsschutzes die beste Lösung darstellt, und zwar selbst dann, wenn Übergangsbauwerke für den Anschluss der Kabelsysteme an die Freileitung erforderlich sind. Könnte - wie vom Gutachter vorgeschlagen - ganz auf BGE 137 II 266 S. 283 Übergangsbauwerke verzichtet werden, würde sich die Landschaftsbilanz der Verkabelung noch verbessern. Die Gefahr einer Austrocknung der Vegetation durch Bodenerwärmung erscheint vernachlässigbar (vgl. oben E. 6.4). Wie bereits aufgezeigt wurde (oben E. 4.4), sprechen im vorliegenden Fall auch keine Gründe des Gewässerschutzes gegen die Verkabelung. Entgegen der Auffassung des Bundesverwaltungsgericht erscheint die Freileitung auch nicht als günstigere Lösung für den Wald: Die geplante Freileitung würde den Wald "Loohölzli" queren, der nicht nur durch die Mastfundamente, sondern insbesondere durch Niederhaltungsservitute beeinträchtigt würde. Dagegen verläuft die Kabeltrasse im Wesentlichen durch Wiesengelände und am Waldrand.</w:t>
      </w:r>
    </w:p>
    <w:p>
      <w:r>
        <w:rPr>
          <w:b/>
        </w:rPr>
        <w:t>E. 7.2</w:t>
      </w:r>
    </w:p>
    <w:p>
      <w:r>
        <w:t>Unter diesen Umständen überwiegt im vorliegenden Fall das Interesse an der ungeschmälerten Erhaltung des Gäbihübels durch eine Teilverkabelung der Hochspannungsleitung. Die Sache ist daher mit dieser Vorgabe an die erste Instanz zurückzuweisen. (...) Die Axpo AG wird ein konkretes Projekt für die Teilverkabelung Riniken ausarbeiten müssen. Hierbei steht ihr ein erheblicher Ermessensspielraum zu. Allerdings liegt es in ihrem und im Interesse der Allgemeinheit, Erfahrungen mit den neuen, vom Gutachter vorgeschlagenen technischen Möglichkeiten zur Optimierung der Kabelanlage zu sammeln. Zu betonen ist, dass der vorliegende Fall eine kurze Teilstrecke (950 m) in einem gut zugänglichen Gebiet ohne besondere topografische oder geologische Schwierigkeiten betrifft. Die vorstehenden Erwägungen und Kostenvergleiche können somit nicht ohne Weiteres auf andere Strecken übertragen werden; vielmehr ist immer einer Prüfung der Verhältnisse des Einzelfalls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